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1680"/>
        <w:gridCol w:w="180"/>
        <w:gridCol w:w="20"/>
        <w:gridCol w:w="380"/>
      </w:tblGrid>
      <w:tr>
        <w:trPr>
          <w:trHeight w:hRule="exact" w:val="10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635000" cy="571500"/>
                  <wp:effectExtent l="0" t="0" r="0" b="0"/>
                  <wp:docPr id="1859073203" name="Picture">
</wp:docPr>
                  <a:graphic>
                    <a:graphicData uri="http://schemas.openxmlformats.org/drawingml/2006/picture">
                      <pic:pic>
                        <pic:nvPicPr>
                          <pic:cNvPr id="1859073203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ЕВРАЗИЙСКИЙ ЭКОНОМИЧЕСКИЙ СОЮЗ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ОБЩЕСТВО С ОГРАНИЧЕННОЙ ОТВЕТСТВЕННОСТЬЮ "КОМПАНИЯ БИО", Место нахождения: 305004, РОССИЯ,  Курская область, ГОРОД КУРСК г.о., Г КУРСК,   УЛ ЛЕНИНА, ЗД. 67А, ОФИС   101      , ОГРН: 1174632018550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В лице: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ГЕНЕРАЛЬНЫЙ ДИРЕКТОР БЕЛЯКИН АНДРЕЙ АЛЬБЕРТОВИЧ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заявляет, что   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Оборудование технологическое для предприятий общественного питания: , электрокипятильники, серии: VА, VA-WВ, RWВ, СWB, GA, GA-WB, RK, RK-WBWB, RK, RK-WB, торговая марка: ''VIATTO", ''Кitchen Muse", "GENIARD”, «VIATTO Commercial», «Rock Kitchen»</w:t>
              <w:br/>
            </w:r>
            <w:r>
              <w:rPr>
                <w:rFonts w:ascii="Arial" w:hAnsi="Arial" w:eastAsia="Arial" w:cs="Arial"/>
                <w:color w:val="000000"/>
                <w:sz w:val="18"/>
                <w:b w:val="true"/>
              </w:rPr>
              <w:t xml:space="preserve">Изготовитель: </w:t>
            </w:r>
            <w:r>
              <w:rPr>
                <w:rFonts w:ascii="Arial" w:hAnsi="Arial" w:eastAsia="Arial" w:cs="Arial"/>
                <w:color w:val="000000"/>
                <w:sz w:val="18"/>
              </w:rPr>
              <w:t xml:space="preserve">Richy (Foshan) Industries and Investments Co., Ltd, Место нахождения: КИТАЙ, 3rd floor West #36 building, Guixin East Road, Haiwei, Ronggui, Shunde District, Foshan City, Guangdong, Адрес места осуществления деятельности по изготовлению продукции: КИТАЙ, 3rd floor West #36 building, Guixin East Road, Haiwei, Ronggui, Shunde District, Foshan City, Guangdong, 22.723640, 113.224450</w:t>
              <w:br/>
              <w:t xml:space="preserve">Коды ТН ВЭД ЕАЭС: 8516108000</w:t>
              <w:br/>
              <w:t xml:space="preserve">Серийный выпуск,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Соответствует требованиям 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ТР ТС 004/2011 О безопасности низковольтного оборудования; ТР ТС 010/2011 О безопасности машин и оборудования; ТР ТС 020/2011 Электромагнитная совместимость технических средств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№ 001/A-21/09/23 выдан 21.09.2023  испытательной лабораторией "Испытательный центр диагностики электротехнических изделий и машин</w:t>
              <w:br/>
              <w:t xml:space="preserve">Аттестат No РОСС RU.31578.04ОЛН0.ИЛ08 от 14.11.2018 года"; Схема декларирования: 1д;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Дополнительная информация </w:t>
            </w:r>
            <w:r>
              <w:rPr>
                <w:rFonts w:ascii="Arial" w:hAnsi="Arial" w:eastAsia="Arial" w:cs="Arial"/>
                <w:color w:val="000000"/>
                <w:sz w:val="14"/>
              </w:rPr>
              <w:t xml:space="preserve">Стандарты и иные нормативные документы: ГОСТ 12.2.124-2013, Система стандартов безопасности труда. Оборудование продовольственное. Общие требования безопасности; Стандарты и иные нормативные документы: ГОСТ 12.2.007.0-75, Система стандартов безопасности труда. Изделия электротехнические. Общие требования безопасности; Стандарты и иные нормативные документы: ГОСТ IEC 61000-6-4-2016, Электромагнитная совместимость (ЭМС). Часть 6-4. Общие стандарты. Стандарт электромагнитной эмиссии для промышленных обстановок; Стандарты и иные нормативные документы: ГОСТ IEC 61000-6-4-2016, Электромагнитная совместимость (ЭМС). Часть 6-4. Общие стандарты. Стандарт электромагнитной эмиссии для промышленных обстановок; Стандарты и иные нормативные документы: ГОСТ 30804.6.2-2013, Совместимость технических средств электромагнитная. Устойчивость к электромагнитным помехам технических средств, применяемых в промышленных зонах. Требования и методы испытаний; Условия и сроки хранения: Условия хранения продукции в соответствии с 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среды. Условия хранения конкретного изделия, срок хранения (службы) указываются в прилагаемой к продукции товаросопроводительной и/или эксплуатационной документации.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20.09.2028</w:t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 включительно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М.П.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БЕЛЯКИН АНДРЕЙ АЛЬБЕРТОВИЧ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(подпись)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(Ф. И. О. заявителя)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Регистрационный номер декларации о соответствии: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Дата регистрации декларации о соответствии: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400" w:bottom="40" w:left="92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</Relationships>

</file>

<file path=docProps/app.xml><?xml version="1.0" encoding="utf-8"?>
<Properties xmlns="http://schemas.openxmlformats.org/officeDocument/2006/extended-properties">
  <Application>JasperReports Library version 6.4.0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